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6A" w:rsidRPr="009E59F2" w:rsidRDefault="00C4046A" w:rsidP="00C4046A">
      <w:pPr>
        <w:jc w:val="both"/>
        <w:rPr>
          <w:rFonts w:ascii="Times New Roman" w:hAnsi="Times New Roman" w:cs="Times New Roman"/>
          <w:sz w:val="20"/>
          <w:szCs w:val="20"/>
          <w:lang w:val="hu-HU"/>
        </w:rPr>
      </w:pPr>
      <w:bookmarkStart w:id="0" w:name="_GoBack"/>
      <w:bookmarkEnd w:id="0"/>
    </w:p>
    <w:p w:rsidR="00C4046A" w:rsidRPr="009E59F2" w:rsidRDefault="00C4046A" w:rsidP="00C4046A">
      <w:pPr>
        <w:pStyle w:val="NormlWeb"/>
        <w:spacing w:before="0" w:beforeAutospacing="0" w:after="0" w:afterAutospacing="0"/>
        <w:jc w:val="center"/>
        <w:rPr>
          <w:b/>
          <w:bCs/>
          <w:color w:val="000000"/>
          <w:sz w:val="20"/>
          <w:szCs w:val="20"/>
          <w:lang w:val="hu-HU"/>
        </w:rPr>
      </w:pPr>
      <w:r w:rsidRPr="009E59F2">
        <w:rPr>
          <w:b/>
          <w:bCs/>
          <w:color w:val="000000"/>
          <w:sz w:val="20"/>
          <w:szCs w:val="20"/>
          <w:lang w:val="hu-HU"/>
        </w:rPr>
        <w:t>MELLÉKLET</w:t>
      </w:r>
    </w:p>
    <w:p w:rsidR="00C4046A" w:rsidRPr="009E59F2" w:rsidRDefault="00C4046A" w:rsidP="00C4046A">
      <w:pPr>
        <w:pStyle w:val="NormlWeb"/>
        <w:spacing w:before="0" w:beforeAutospacing="0" w:after="0" w:afterAutospacing="0"/>
        <w:jc w:val="center"/>
        <w:rPr>
          <w:b/>
          <w:color w:val="000000"/>
          <w:sz w:val="20"/>
          <w:szCs w:val="20"/>
          <w:lang w:val="hu-HU"/>
        </w:rPr>
      </w:pPr>
      <w:r w:rsidRPr="009E59F2">
        <w:rPr>
          <w:b/>
          <w:bCs/>
          <w:color w:val="000000"/>
          <w:sz w:val="20"/>
          <w:szCs w:val="20"/>
          <w:lang w:val="hu-HU"/>
        </w:rPr>
        <w:t xml:space="preserve"> </w:t>
      </w:r>
      <w:r w:rsidRPr="009E59F2">
        <w:rPr>
          <w:b/>
          <w:color w:val="000000"/>
          <w:sz w:val="20"/>
          <w:szCs w:val="20"/>
          <w:lang w:val="hu-HU"/>
        </w:rPr>
        <w:t>Az érintettek adatkezeléssel kapcsolatos jogainak és jogorvoslati lehetőségeinek részletes ismertetése</w:t>
      </w:r>
    </w:p>
    <w:p w:rsidR="00C4046A" w:rsidRPr="009E59F2" w:rsidRDefault="00C4046A" w:rsidP="00C4046A">
      <w:pPr>
        <w:jc w:val="both"/>
        <w:rPr>
          <w:rFonts w:ascii="Times New Roman" w:hAnsi="Times New Roman" w:cs="Times New Roman"/>
          <w:b/>
          <w:bCs/>
          <w:sz w:val="20"/>
          <w:szCs w:val="20"/>
          <w:lang w:val="hu-HU"/>
        </w:rPr>
      </w:pPr>
    </w:p>
    <w:p w:rsidR="00C4046A" w:rsidRPr="009E59F2" w:rsidRDefault="00C4046A" w:rsidP="00C4046A">
      <w:pPr>
        <w:pStyle w:val="Default"/>
        <w:jc w:val="both"/>
        <w:rPr>
          <w:rFonts w:ascii="Times New Roman" w:hAnsi="Times New Roman" w:cs="Times New Roman"/>
          <w:sz w:val="20"/>
          <w:szCs w:val="20"/>
        </w:rPr>
      </w:pPr>
      <w:r w:rsidRPr="009E59F2">
        <w:rPr>
          <w:rFonts w:ascii="Times New Roman" w:hAnsi="Times New Roman" w:cs="Times New Roman"/>
          <w:b/>
          <w:sz w:val="20"/>
          <w:szCs w:val="20"/>
        </w:rPr>
        <w:t>Az adatkezeléssel érintett (a továbbiakban érintett)</w:t>
      </w:r>
      <w:r w:rsidRPr="009E59F2">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9E59F2">
        <w:rPr>
          <w:rFonts w:ascii="Times New Roman" w:hAnsi="Times New Roman" w:cs="Times New Roman"/>
          <w:b/>
          <w:sz w:val="20"/>
          <w:szCs w:val="20"/>
        </w:rPr>
        <w:t>Személyes adatnak minősül</w:t>
      </w:r>
      <w:r w:rsidRPr="009E59F2">
        <w:rPr>
          <w:rFonts w:ascii="Times New Roman" w:hAnsi="Times New Roman" w:cs="Times New Roman"/>
          <w:sz w:val="20"/>
          <w:szCs w:val="20"/>
        </w:rPr>
        <w:t xml:space="preserve"> minden olyan </w:t>
      </w:r>
      <w:proofErr w:type="gramStart"/>
      <w:r w:rsidRPr="009E59F2">
        <w:rPr>
          <w:rFonts w:ascii="Times New Roman" w:hAnsi="Times New Roman" w:cs="Times New Roman"/>
          <w:sz w:val="20"/>
          <w:szCs w:val="20"/>
        </w:rPr>
        <w:t>információ</w:t>
      </w:r>
      <w:proofErr w:type="gramEnd"/>
      <w:r w:rsidRPr="009E59F2">
        <w:rPr>
          <w:rFonts w:ascii="Times New Roman" w:hAnsi="Times New Roman" w:cs="Times New Roman"/>
          <w:sz w:val="20"/>
          <w:szCs w:val="20"/>
        </w:rPr>
        <w:t xml:space="preserve">, ami alapján az érintett azonosítható. Így személyes adat nem csak az érintett neve, azonosító jele, hanem akár a fizikai, </w:t>
      </w:r>
      <w:proofErr w:type="gramStart"/>
      <w:r w:rsidRPr="009E59F2">
        <w:rPr>
          <w:rFonts w:ascii="Times New Roman" w:hAnsi="Times New Roman" w:cs="Times New Roman"/>
          <w:sz w:val="20"/>
          <w:szCs w:val="20"/>
        </w:rPr>
        <w:t>mentális</w:t>
      </w:r>
      <w:proofErr w:type="gramEnd"/>
      <w:r w:rsidRPr="009E59F2">
        <w:rPr>
          <w:rFonts w:ascii="Times New Roman" w:hAnsi="Times New Roman" w:cs="Times New Roman"/>
          <w:sz w:val="20"/>
          <w:szCs w:val="20"/>
        </w:rPr>
        <w:t xml:space="preserve"> stb. azonosságára jellemző ismeret is</w:t>
      </w:r>
      <w:r w:rsidRPr="009E59F2">
        <w:rPr>
          <w:rStyle w:val="Lbjegyzet-hivatkozs"/>
          <w:rFonts w:ascii="Times New Roman" w:hAnsi="Times New Roman" w:cs="Times New Roman"/>
          <w:sz w:val="20"/>
          <w:szCs w:val="20"/>
        </w:rPr>
        <w:footnoteReference w:id="1"/>
      </w:r>
      <w:r w:rsidRPr="009E59F2">
        <w:rPr>
          <w:rFonts w:ascii="Times New Roman" w:hAnsi="Times New Roman" w:cs="Times New Roman"/>
          <w:sz w:val="20"/>
          <w:szCs w:val="20"/>
        </w:rPr>
        <w:t xml:space="preserve">. </w:t>
      </w:r>
    </w:p>
    <w:p w:rsidR="00C4046A" w:rsidRPr="009E59F2" w:rsidRDefault="00C4046A" w:rsidP="00C4046A">
      <w:pPr>
        <w:pStyle w:val="Default"/>
        <w:jc w:val="both"/>
        <w:rPr>
          <w:rFonts w:ascii="Times New Roman" w:hAnsi="Times New Roman" w:cs="Times New Roman"/>
          <w:sz w:val="20"/>
          <w:szCs w:val="20"/>
        </w:rPr>
      </w:pPr>
      <w:r w:rsidRPr="009E59F2">
        <w:rPr>
          <w:rFonts w:ascii="Times New Roman" w:hAnsi="Times New Roman" w:cs="Times New Roman"/>
          <w:sz w:val="20"/>
          <w:szCs w:val="20"/>
        </w:rPr>
        <w:t xml:space="preserve">A GDPR III. fejezetében (érintettek jogai) meghatározott rendelkezések és feltételek szerint </w:t>
      </w:r>
      <w:r w:rsidRPr="009E59F2">
        <w:rPr>
          <w:rFonts w:ascii="Times New Roman" w:hAnsi="Times New Roman" w:cs="Times New Roman"/>
          <w:b/>
          <w:sz w:val="20"/>
          <w:szCs w:val="20"/>
        </w:rPr>
        <w:t>az érintettet megilleti</w:t>
      </w:r>
      <w:r w:rsidRPr="009E59F2">
        <w:rPr>
          <w:rFonts w:ascii="Times New Roman" w:hAnsi="Times New Roman" w:cs="Times New Roman"/>
          <w:sz w:val="20"/>
          <w:szCs w:val="20"/>
        </w:rPr>
        <w:t>:</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az átlátható tájékoztatáshoz való jog,</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 személyes adataihoz való hozzáférés joga,</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kérésére az adatainak helyesbítéséhez, törléséhez való jog („az elfeledtetéshez való jog”) és az adatkezelés korlátozásához való jog,</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 xml:space="preserve">tájékoztatás címzettek személyéről, </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 xml:space="preserve">adathordozhatósághoz való jog: csak a hozzájárulás vagy szerződés alapján kezelt adatok vonatkozásában, </w:t>
      </w:r>
      <w:proofErr w:type="gramStart"/>
      <w:r w:rsidRPr="009E59F2">
        <w:rPr>
          <w:rFonts w:ascii="Times New Roman" w:hAnsi="Times New Roman" w:cs="Times New Roman"/>
          <w:sz w:val="20"/>
          <w:szCs w:val="20"/>
        </w:rPr>
        <w:t>automatikus</w:t>
      </w:r>
      <w:proofErr w:type="gramEnd"/>
      <w:r w:rsidRPr="009E59F2">
        <w:rPr>
          <w:rFonts w:ascii="Times New Roman" w:hAnsi="Times New Roman" w:cs="Times New Roman"/>
          <w:sz w:val="20"/>
          <w:szCs w:val="20"/>
        </w:rPr>
        <w:t xml:space="preserve"> adatkezelés esetén;</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tiltakozáshoz való jog: a jogos érdeken alapuló vagy közérdekű/az adatkezelőre ruházott közhatalmi jogosítvány gyakorlásának keretében végzett feladat ellátása során történő adatkezelés esetében,</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automatizált döntéshozatal esetén az érintettet az a jog, hogy ne terjedjen ki rá a döntés hatálya;</w:t>
      </w:r>
    </w:p>
    <w:p w:rsidR="00C4046A" w:rsidRPr="009E59F2" w:rsidRDefault="00C4046A" w:rsidP="00C4046A">
      <w:pPr>
        <w:pStyle w:val="Default"/>
        <w:numPr>
          <w:ilvl w:val="0"/>
          <w:numId w:val="2"/>
        </w:numPr>
        <w:ind w:left="284" w:hanging="284"/>
        <w:jc w:val="both"/>
        <w:rPr>
          <w:rFonts w:ascii="Times New Roman" w:hAnsi="Times New Roman" w:cs="Times New Roman"/>
          <w:sz w:val="20"/>
          <w:szCs w:val="20"/>
        </w:rPr>
      </w:pPr>
      <w:r w:rsidRPr="009E59F2">
        <w:rPr>
          <w:rFonts w:ascii="Times New Roman" w:hAnsi="Times New Roman" w:cs="Times New Roman"/>
          <w:sz w:val="20"/>
          <w:szCs w:val="20"/>
        </w:rPr>
        <w:t>a jogorvoslathoz való jog: az érintett a jogainak megsértése esetén az adatvédelmi tisztviselőhöz vagy a Nemzeti Adatvédelmi és Információszabadság hatósághoz vagy bírósághoz fordulhat.</w:t>
      </w:r>
    </w:p>
    <w:p w:rsidR="00C4046A" w:rsidRPr="009E59F2" w:rsidRDefault="00C4046A" w:rsidP="00C4046A">
      <w:pPr>
        <w:pStyle w:val="NormlWeb"/>
        <w:rPr>
          <w:b/>
          <w:color w:val="000000"/>
          <w:sz w:val="20"/>
          <w:szCs w:val="20"/>
          <w:lang w:val="hu-HU"/>
        </w:rPr>
      </w:pPr>
      <w:r w:rsidRPr="009E59F2">
        <w:rPr>
          <w:b/>
          <w:color w:val="000000"/>
          <w:sz w:val="20"/>
          <w:szCs w:val="20"/>
          <w:lang w:val="hu-HU"/>
        </w:rPr>
        <w:t>Az alábbiakban az érintettet illető egyes jogok kifejtése olvasható.</w:t>
      </w: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Átlátható tájékoztatáshoz való jog (GDPR 12-14.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Az adatkezelő jelen </w:t>
      </w:r>
      <w:proofErr w:type="gramStart"/>
      <w:r w:rsidRPr="009E59F2">
        <w:rPr>
          <w:rFonts w:ascii="Times New Roman" w:hAnsi="Times New Roman" w:cs="Times New Roman"/>
          <w:sz w:val="20"/>
          <w:szCs w:val="20"/>
        </w:rPr>
        <w:t>dokumentummal</w:t>
      </w:r>
      <w:proofErr w:type="gramEnd"/>
      <w:r w:rsidRPr="009E59F2">
        <w:rPr>
          <w:rFonts w:ascii="Times New Roman" w:hAnsi="Times New Roman" w:cs="Times New Roman"/>
          <w:sz w:val="20"/>
          <w:szCs w:val="20"/>
        </w:rPr>
        <w:t xml:space="preserve"> tesz eleget az adatkezelőre, az adatvédelmi tisztviselőre, az adatkezelés céljára és jogalapjára, időtartamára, az adatok forrására, és az érintetti jogokra, jogorvoslatra vonatkozó tájékoztatási kötelezettségének.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kérésére szóbeli tájékoztatás is adható, feltéve, hogy igazolja a személyazonosságát.</w:t>
      </w:r>
    </w:p>
    <w:p w:rsidR="00C4046A" w:rsidRPr="009E59F2" w:rsidRDefault="00C4046A" w:rsidP="00C4046A">
      <w:pPr>
        <w:autoSpaceDE w:val="0"/>
        <w:autoSpaceDN w:val="0"/>
        <w:adjustRightInd w:val="0"/>
        <w:rPr>
          <w:rFonts w:ascii="Times New Roman" w:hAnsi="Times New Roman" w:cs="Times New Roman"/>
          <w:color w:val="000000"/>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Az érintett hozzáférési joga (GDPR 15.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Az érintett jogosult arra, hogy az adatkezelőtől visszajelzést kapjon arra vonatkozóan, hogy személyes adatainak kezelése folyamatban van-e, és ha ilyen adatkezelés folyamatban van, jogosult arra, hogy a személyes adatokhoz és a következő </w:t>
      </w:r>
      <w:proofErr w:type="gramStart"/>
      <w:r w:rsidRPr="009E59F2">
        <w:rPr>
          <w:rFonts w:ascii="Times New Roman" w:hAnsi="Times New Roman" w:cs="Times New Roman"/>
          <w:sz w:val="20"/>
          <w:szCs w:val="20"/>
        </w:rPr>
        <w:t>információkhoz</w:t>
      </w:r>
      <w:proofErr w:type="gramEnd"/>
      <w:r w:rsidRPr="009E59F2">
        <w:rPr>
          <w:rFonts w:ascii="Times New Roman" w:hAnsi="Times New Roman" w:cs="Times New Roman"/>
          <w:sz w:val="20"/>
          <w:szCs w:val="20"/>
        </w:rPr>
        <w:t xml:space="preserve"> hozzáférést kapjon: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70"/>
        <w:gridCol w:w="8870"/>
      </w:tblGrid>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adatkezelés céljai;</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b)</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 xml:space="preserve">az érintett személyes adatok </w:t>
            </w:r>
            <w:proofErr w:type="gramStart"/>
            <w:r w:rsidRPr="009E59F2">
              <w:rPr>
                <w:rFonts w:ascii="Times New Roman" w:hAnsi="Times New Roman" w:cs="Times New Roman"/>
                <w:color w:val="000000"/>
                <w:sz w:val="20"/>
                <w:szCs w:val="20"/>
                <w:lang w:val="hu-HU"/>
              </w:rPr>
              <w:t>kategóriái</w:t>
            </w:r>
            <w:proofErr w:type="gramEnd"/>
            <w:r w:rsidRPr="009E59F2">
              <w:rPr>
                <w:rFonts w:ascii="Times New Roman" w:hAnsi="Times New Roman" w:cs="Times New Roman"/>
                <w:color w:val="000000"/>
                <w:sz w:val="20"/>
                <w:szCs w:val="20"/>
                <w:lang w:val="hu-HU"/>
              </w:rPr>
              <w:t>;</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c)</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 xml:space="preserve">azon címzettek vagy címzettek </w:t>
            </w:r>
            <w:proofErr w:type="gramStart"/>
            <w:r w:rsidRPr="009E59F2">
              <w:rPr>
                <w:rFonts w:ascii="Times New Roman" w:hAnsi="Times New Roman" w:cs="Times New Roman"/>
                <w:color w:val="000000"/>
                <w:sz w:val="20"/>
                <w:szCs w:val="20"/>
                <w:lang w:val="hu-HU"/>
              </w:rPr>
              <w:t>kategóriái</w:t>
            </w:r>
            <w:proofErr w:type="gramEnd"/>
            <w:r w:rsidRPr="009E59F2">
              <w:rPr>
                <w:rFonts w:ascii="Times New Roman" w:hAnsi="Times New Roman" w:cs="Times New Roman"/>
                <w:color w:val="000000"/>
                <w:sz w:val="20"/>
                <w:szCs w:val="20"/>
                <w:lang w:val="hu-HU"/>
              </w:rPr>
              <w:t>, akikkel, illetve amelyekkel a személyes adatokat közölték vagy közölni fogják, ideértve különösen a harmadik országbeli címzetteket, illetve a nemzetközi szervezeteket;</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d)</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adott esetben a személyes adatok tárolásának tervezett időtartama, vagy ha ez nem lehetséges, ezen időtartam meghatározásának szempontjai;</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e)</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azon joga, hogy kérelmezheti az adatkezelőtől a rá vonatkozó személyes adatok helyesbítését, törlését vagy kezelésének korlátozását, és tiltakozhat az ilyen személyes adatok kezelése ellen;</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lastRenderedPageBreak/>
              <w:t>f)</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 valamely felügyeleti hatósághoz címzett panasz benyújtásának joga;</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g)</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 xml:space="preserve">ha az adatokat nem az </w:t>
            </w:r>
            <w:proofErr w:type="spellStart"/>
            <w:r w:rsidRPr="009E59F2">
              <w:rPr>
                <w:rFonts w:ascii="Times New Roman" w:hAnsi="Times New Roman" w:cs="Times New Roman"/>
                <w:color w:val="000000"/>
                <w:sz w:val="20"/>
                <w:szCs w:val="20"/>
                <w:lang w:val="hu-HU"/>
              </w:rPr>
              <w:t>érintettől</w:t>
            </w:r>
            <w:proofErr w:type="spellEnd"/>
            <w:r w:rsidRPr="009E59F2">
              <w:rPr>
                <w:rFonts w:ascii="Times New Roman" w:hAnsi="Times New Roman" w:cs="Times New Roman"/>
                <w:color w:val="000000"/>
                <w:sz w:val="20"/>
                <w:szCs w:val="20"/>
                <w:lang w:val="hu-HU"/>
              </w:rPr>
              <w:t xml:space="preserve"> gyűjtötték, a forrásukra vonatkozó minden elérhető </w:t>
            </w:r>
            <w:proofErr w:type="gramStart"/>
            <w:r w:rsidRPr="009E59F2">
              <w:rPr>
                <w:rFonts w:ascii="Times New Roman" w:hAnsi="Times New Roman" w:cs="Times New Roman"/>
                <w:color w:val="000000"/>
                <w:sz w:val="20"/>
                <w:szCs w:val="20"/>
                <w:lang w:val="hu-HU"/>
              </w:rPr>
              <w:t>információ</w:t>
            </w:r>
            <w:proofErr w:type="gramEnd"/>
            <w:r w:rsidRPr="009E59F2">
              <w:rPr>
                <w:rFonts w:ascii="Times New Roman" w:hAnsi="Times New Roman" w:cs="Times New Roman"/>
                <w:color w:val="000000"/>
                <w:sz w:val="20"/>
                <w:szCs w:val="20"/>
                <w:lang w:val="hu-HU"/>
              </w:rPr>
              <w:t>;</w:t>
            </w:r>
          </w:p>
        </w:tc>
      </w:tr>
      <w:tr w:rsidR="00C4046A" w:rsidRPr="009E59F2" w:rsidTr="00F1364B">
        <w:trPr>
          <w:tblCellSpacing w:w="0" w:type="dxa"/>
        </w:trPr>
        <w:tc>
          <w:tcPr>
            <w:tcW w:w="370"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h)</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 xml:space="preserve">az automatizált döntéshozatal ténye, ideértve a profilalkotást is, valamint legalább ezekben az esetekben az alkalmazott logikára és arra vonatkozó érthető </w:t>
            </w:r>
            <w:proofErr w:type="gramStart"/>
            <w:r w:rsidRPr="009E59F2">
              <w:rPr>
                <w:rFonts w:ascii="Times New Roman" w:hAnsi="Times New Roman" w:cs="Times New Roman"/>
                <w:color w:val="000000"/>
                <w:sz w:val="20"/>
                <w:szCs w:val="20"/>
                <w:lang w:val="hu-HU"/>
              </w:rPr>
              <w:t>információk</w:t>
            </w:r>
            <w:proofErr w:type="gramEnd"/>
            <w:r w:rsidRPr="009E59F2">
              <w:rPr>
                <w:rFonts w:ascii="Times New Roman" w:hAnsi="Times New Roman" w:cs="Times New Roman"/>
                <w:color w:val="000000"/>
                <w:sz w:val="20"/>
                <w:szCs w:val="20"/>
                <w:lang w:val="hu-HU"/>
              </w:rPr>
              <w:t>, hogy az ilyen adatkezelés milyen jelentőséggel bír, és az érintettre nézve milyen várható következményekkel jár.</w:t>
            </w:r>
          </w:p>
        </w:tc>
      </w:tr>
    </w:tbl>
    <w:p w:rsidR="00C4046A" w:rsidRPr="009E59F2" w:rsidRDefault="00C4046A" w:rsidP="00C4046A">
      <w:pPr>
        <w:ind w:left="142"/>
        <w:jc w:val="both"/>
        <w:rPr>
          <w:rFonts w:ascii="Times New Roman" w:hAnsi="Times New Roman" w:cs="Times New Roman"/>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Az érintett adatainak helyesbítése, törlése és az adatkezelés korlátozása (GDPR 16-. cikk)</w:t>
      </w:r>
    </w:p>
    <w:p w:rsidR="00C4046A" w:rsidRPr="009E59F2" w:rsidRDefault="00C4046A" w:rsidP="00C4046A">
      <w:pPr>
        <w:pStyle w:val="NormlWeb"/>
        <w:numPr>
          <w:ilvl w:val="1"/>
          <w:numId w:val="4"/>
        </w:numPr>
        <w:spacing w:before="0" w:beforeAutospacing="0" w:after="0" w:afterAutospacing="0"/>
        <w:jc w:val="both"/>
        <w:rPr>
          <w:color w:val="000000"/>
          <w:sz w:val="20"/>
          <w:szCs w:val="20"/>
          <w:u w:val="single"/>
          <w:lang w:val="hu-HU"/>
        </w:rPr>
      </w:pPr>
      <w:r w:rsidRPr="009E59F2">
        <w:rPr>
          <w:sz w:val="20"/>
          <w:szCs w:val="20"/>
          <w:u w:val="single"/>
          <w:lang w:val="hu-HU"/>
        </w:rPr>
        <w:t>A helyesbítéshez való jog</w:t>
      </w:r>
      <w:r w:rsidRPr="009E59F2">
        <w:rPr>
          <w:color w:val="000000"/>
          <w:sz w:val="20"/>
          <w:szCs w:val="20"/>
          <w:u w:val="single"/>
          <w:lang w:val="hu-HU"/>
        </w:rPr>
        <w:t xml:space="preserve"> (GDPR 16.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rsidR="00C4046A" w:rsidRPr="009E59F2" w:rsidRDefault="00C4046A" w:rsidP="00C4046A">
      <w:pPr>
        <w:pStyle w:val="NormlWeb"/>
        <w:numPr>
          <w:ilvl w:val="1"/>
          <w:numId w:val="4"/>
        </w:numPr>
        <w:spacing w:before="0" w:beforeAutospacing="0" w:after="0" w:afterAutospacing="0"/>
        <w:jc w:val="both"/>
        <w:rPr>
          <w:color w:val="000000"/>
          <w:sz w:val="20"/>
          <w:szCs w:val="20"/>
          <w:u w:val="single"/>
          <w:lang w:val="hu-HU"/>
        </w:rPr>
      </w:pPr>
      <w:r w:rsidRPr="009E59F2">
        <w:rPr>
          <w:color w:val="000000"/>
          <w:sz w:val="20"/>
          <w:szCs w:val="20"/>
          <w:u w:val="single"/>
          <w:lang w:val="hu-HU"/>
        </w:rPr>
        <w:t xml:space="preserve">A törléshez való jog - </w:t>
      </w:r>
      <w:proofErr w:type="gramStart"/>
      <w:r w:rsidRPr="009E59F2">
        <w:rPr>
          <w:color w:val="000000"/>
          <w:sz w:val="20"/>
          <w:szCs w:val="20"/>
          <w:u w:val="single"/>
          <w:lang w:val="hu-HU"/>
        </w:rPr>
        <w:t>„ az</w:t>
      </w:r>
      <w:proofErr w:type="gramEnd"/>
      <w:r w:rsidRPr="009E59F2">
        <w:rPr>
          <w:color w:val="000000"/>
          <w:sz w:val="20"/>
          <w:szCs w:val="20"/>
          <w:u w:val="single"/>
          <w:lang w:val="hu-HU"/>
        </w:rPr>
        <w:t xml:space="preserve"> elfeledtetéshez való jog” (GDPR 17.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 személyes adatot törölni kell, ha</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célja megszűnt;</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érintett visszavonta a hozzájárulását és az adatkezelésnek nincs más jogalapja;</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 xml:space="preserve">az adatkezelés jogos érdeken alapul vagy </w:t>
      </w:r>
      <w:proofErr w:type="gramStart"/>
      <w:r w:rsidRPr="009E59F2">
        <w:rPr>
          <w:rFonts w:ascii="Times New Roman" w:hAnsi="Times New Roman" w:cs="Times New Roman"/>
          <w:sz w:val="20"/>
          <w:szCs w:val="20"/>
        </w:rPr>
        <w:t>közérdekű</w:t>
      </w:r>
      <w:proofErr w:type="gramEnd"/>
      <w:r w:rsidRPr="009E59F2">
        <w:rPr>
          <w:rFonts w:ascii="Times New Roman" w:hAnsi="Times New Roman" w:cs="Times New Roman"/>
          <w:sz w:val="20"/>
          <w:szCs w:val="20"/>
        </w:rPr>
        <w:t xml:space="preserve"> vagy az adatkezelőre ruházott közhatalmi jogosítvány gyakorlásának keretében végzett feladat végrehajtásához szükséges, és az érintett tiltakozik az adatkezelés ellen;</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jogellenes;</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 személyes adatokat az adatkezelőre alkalmazandó uniós vagy tagállami jogban előírt jogi kötelezettség teljesítéséhez törölni kell;</w:t>
      </w:r>
    </w:p>
    <w:p w:rsidR="00C4046A" w:rsidRPr="009E59F2" w:rsidRDefault="00C4046A" w:rsidP="00C4046A">
      <w:pPr>
        <w:pStyle w:val="Default"/>
        <w:numPr>
          <w:ilvl w:val="3"/>
          <w:numId w:val="3"/>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 xml:space="preserve">az adatok törlésére közvetlenül gyermekeknek kínált, </w:t>
      </w:r>
      <w:proofErr w:type="gramStart"/>
      <w:r w:rsidRPr="009E59F2">
        <w:rPr>
          <w:rFonts w:ascii="Times New Roman" w:hAnsi="Times New Roman" w:cs="Times New Roman"/>
          <w:sz w:val="20"/>
          <w:szCs w:val="20"/>
        </w:rPr>
        <w:t>információs</w:t>
      </w:r>
      <w:proofErr w:type="gramEnd"/>
      <w:r w:rsidRPr="009E59F2">
        <w:rPr>
          <w:rFonts w:ascii="Times New Roman" w:hAnsi="Times New Roman" w:cs="Times New Roman"/>
          <w:sz w:val="20"/>
          <w:szCs w:val="20"/>
        </w:rPr>
        <w:t xml:space="preserve"> társadalommal összefüggő szolgáltatások vonatkozásában került sor.</w:t>
      </w:r>
    </w:p>
    <w:p w:rsidR="00C4046A" w:rsidRPr="009E59F2" w:rsidRDefault="00C4046A" w:rsidP="00C4046A">
      <w:pPr>
        <w:rPr>
          <w:rFonts w:ascii="Times New Roman" w:hAnsi="Times New Roman" w:cs="Times New Roman"/>
          <w:vanish/>
          <w:color w:val="000000"/>
          <w:sz w:val="20"/>
          <w:szCs w:val="20"/>
          <w:u w:val="single"/>
          <w:lang w:val="hu-HU"/>
        </w:rPr>
      </w:pPr>
    </w:p>
    <w:p w:rsidR="00C4046A" w:rsidRPr="009E59F2" w:rsidRDefault="00C4046A" w:rsidP="00C4046A">
      <w:pPr>
        <w:pStyle w:val="NormlWeb"/>
        <w:numPr>
          <w:ilvl w:val="1"/>
          <w:numId w:val="4"/>
        </w:numPr>
        <w:spacing w:before="0" w:beforeAutospacing="0" w:after="0" w:afterAutospacing="0"/>
        <w:jc w:val="both"/>
        <w:rPr>
          <w:sz w:val="20"/>
          <w:szCs w:val="20"/>
          <w:u w:val="single"/>
          <w:lang w:val="hu-HU"/>
        </w:rPr>
      </w:pPr>
      <w:r w:rsidRPr="009E59F2">
        <w:rPr>
          <w:sz w:val="20"/>
          <w:szCs w:val="20"/>
          <w:u w:val="single"/>
          <w:lang w:val="hu-HU"/>
        </w:rPr>
        <w:t>Az adatkezelés korlátozásához való jog (GDPR 18.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adatkezelő az érintett kérésére korlátozza az adatkezelést, ha</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érintett vitatja a személyes adatok pontosságát;</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 xml:space="preserve">az adatkezelés jogellenes és az érintett </w:t>
      </w:r>
      <w:proofErr w:type="spellStart"/>
      <w:r w:rsidRPr="009E59F2">
        <w:rPr>
          <w:rFonts w:ascii="Times New Roman" w:hAnsi="Times New Roman" w:cs="Times New Roman"/>
          <w:sz w:val="20"/>
          <w:szCs w:val="20"/>
        </w:rPr>
        <w:t>ellenzi</w:t>
      </w:r>
      <w:proofErr w:type="spellEnd"/>
      <w:r w:rsidRPr="009E59F2">
        <w:rPr>
          <w:rFonts w:ascii="Times New Roman" w:hAnsi="Times New Roman" w:cs="Times New Roman"/>
          <w:sz w:val="20"/>
          <w:szCs w:val="20"/>
        </w:rPr>
        <w:t xml:space="preserve"> az adatok törlését;</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rsidR="00C4046A" w:rsidRPr="009E59F2" w:rsidRDefault="00C4046A" w:rsidP="00C4046A">
      <w:pPr>
        <w:pStyle w:val="Default"/>
        <w:numPr>
          <w:ilvl w:val="3"/>
          <w:numId w:val="5"/>
        </w:numPr>
        <w:ind w:left="567" w:hanging="283"/>
        <w:jc w:val="both"/>
        <w:rPr>
          <w:rFonts w:ascii="Times New Roman" w:hAnsi="Times New Roman" w:cs="Times New Roman"/>
          <w:sz w:val="20"/>
          <w:szCs w:val="20"/>
        </w:rPr>
      </w:pPr>
      <w:r w:rsidRPr="009E59F2">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rsidR="00C4046A" w:rsidRPr="009E59F2" w:rsidRDefault="00C4046A" w:rsidP="00C4046A">
      <w:pPr>
        <w:pStyle w:val="Default"/>
        <w:jc w:val="both"/>
        <w:rPr>
          <w:rFonts w:ascii="Times New Roman" w:hAnsi="Times New Roman" w:cs="Times New Roman"/>
          <w:sz w:val="20"/>
          <w:szCs w:val="20"/>
        </w:rPr>
      </w:pPr>
    </w:p>
    <w:p w:rsidR="00C4046A" w:rsidRPr="009E59F2" w:rsidRDefault="00C4046A" w:rsidP="00C4046A">
      <w:pPr>
        <w:pStyle w:val="Default"/>
        <w:jc w:val="both"/>
        <w:rPr>
          <w:rFonts w:ascii="Times New Roman" w:hAnsi="Times New Roman" w:cs="Times New Roman"/>
          <w:sz w:val="20"/>
          <w:szCs w:val="20"/>
        </w:rPr>
      </w:pPr>
      <w:r w:rsidRPr="009E59F2">
        <w:rPr>
          <w:rFonts w:ascii="Times New Roman" w:hAnsi="Times New Roman" w:cs="Times New Roman"/>
          <w:sz w:val="20"/>
          <w:szCs w:val="20"/>
        </w:rPr>
        <w:t xml:space="preserve">Az adatkezelő indokolatlan késedelem nélkül, de </w:t>
      </w:r>
      <w:r w:rsidRPr="009E59F2">
        <w:rPr>
          <w:rFonts w:ascii="Times New Roman" w:hAnsi="Times New Roman" w:cs="Times New Roman"/>
          <w:b/>
          <w:sz w:val="20"/>
          <w:szCs w:val="20"/>
        </w:rPr>
        <w:t>legkésőbb a kérelem beérkezésétől számított egy hónapon belül</w:t>
      </w:r>
      <w:r w:rsidRPr="009E59F2">
        <w:rPr>
          <w:rFonts w:ascii="Times New Roman" w:hAnsi="Times New Roman" w:cs="Times New Roman"/>
          <w:sz w:val="20"/>
          <w:szCs w:val="20"/>
        </w:rPr>
        <w:t xml:space="preserve">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C4046A" w:rsidRPr="009E59F2" w:rsidRDefault="00C4046A" w:rsidP="00C4046A">
      <w:pPr>
        <w:rPr>
          <w:rFonts w:ascii="Times New Roman" w:hAnsi="Times New Roman" w:cs="Times New Roman"/>
          <w:color w:val="000000"/>
          <w:sz w:val="20"/>
          <w:szCs w:val="20"/>
          <w:lang w:val="hu-HU"/>
        </w:rPr>
      </w:pPr>
    </w:p>
    <w:p w:rsidR="00C4046A" w:rsidRPr="009E59F2" w:rsidRDefault="00C4046A" w:rsidP="00C4046A">
      <w:pPr>
        <w:pStyle w:val="Default"/>
        <w:numPr>
          <w:ilvl w:val="0"/>
          <w:numId w:val="3"/>
        </w:numPr>
        <w:ind w:left="284" w:hanging="284"/>
        <w:jc w:val="both"/>
        <w:rPr>
          <w:rFonts w:ascii="Times New Roman" w:eastAsia="Calibri" w:hAnsi="Times New Roman" w:cs="Times New Roman"/>
          <w:sz w:val="20"/>
          <w:szCs w:val="20"/>
          <w:u w:val="single"/>
          <w:lang w:eastAsia="en-US"/>
        </w:rPr>
      </w:pPr>
      <w:r w:rsidRPr="009E59F2">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C4046A" w:rsidRPr="009E59F2" w:rsidRDefault="00C4046A" w:rsidP="00C4046A">
      <w:pPr>
        <w:autoSpaceDE w:val="0"/>
        <w:autoSpaceDN w:val="0"/>
        <w:adjustRightInd w:val="0"/>
        <w:rPr>
          <w:rFonts w:ascii="Times New Roman" w:eastAsia="Calibri" w:hAnsi="Times New Roman" w:cs="Times New Roman"/>
          <w:sz w:val="20"/>
          <w:szCs w:val="20"/>
          <w:u w:val="single"/>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 xml:space="preserve">Adathordozhatósághoz való jog (GDPR 20. cikk)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E jog gyakorlása nem sértheti az elfeledtetéshez való jogot. </w:t>
      </w:r>
    </w:p>
    <w:p w:rsidR="00C4046A" w:rsidRPr="009E59F2" w:rsidRDefault="00C4046A" w:rsidP="00C4046A">
      <w:pPr>
        <w:pStyle w:val="Default"/>
        <w:ind w:left="360"/>
        <w:jc w:val="both"/>
        <w:rPr>
          <w:rFonts w:ascii="Times New Roman" w:hAnsi="Times New Roman" w:cs="Times New Roman"/>
          <w:sz w:val="20"/>
          <w:szCs w:val="20"/>
          <w:u w:val="single"/>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 xml:space="preserve">A tiltakozáshoz való jog (GDPR 21. cikk)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9E59F2">
        <w:rPr>
          <w:rStyle w:val="Lbjegyzet-hivatkozs"/>
          <w:rFonts w:ascii="Times New Roman" w:hAnsi="Times New Roman" w:cs="Times New Roman"/>
          <w:sz w:val="20"/>
          <w:szCs w:val="20"/>
        </w:rPr>
        <w:footnoteReference w:id="2"/>
      </w:r>
      <w:r w:rsidRPr="009E59F2">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C4046A" w:rsidRPr="009E59F2" w:rsidRDefault="00C4046A" w:rsidP="00C4046A">
      <w:pPr>
        <w:ind w:left="142"/>
        <w:jc w:val="both"/>
        <w:rPr>
          <w:rFonts w:ascii="Times New Roman" w:hAnsi="Times New Roman" w:cs="Times New Roman"/>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Automatizált döntéshozatal esetén az érintettet megillető jog (GDPR 22.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Ez a rendelkezés nem alkalmazandó a következő esetekben: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69"/>
        <w:gridCol w:w="8871"/>
      </w:tblGrid>
      <w:tr w:rsidR="00C4046A" w:rsidRPr="009E59F2" w:rsidTr="00F1364B">
        <w:trPr>
          <w:tblCellSpacing w:w="0" w:type="dxa"/>
        </w:trPr>
        <w:tc>
          <w:tcPr>
            <w:tcW w:w="369"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és az adatkezelő közötti szerződés megkötése vagy teljesítése érdekében szükséges;</w:t>
            </w:r>
          </w:p>
        </w:tc>
      </w:tr>
      <w:tr w:rsidR="00C4046A" w:rsidRPr="009E59F2" w:rsidTr="00F1364B">
        <w:trPr>
          <w:tblCellSpacing w:w="0" w:type="dxa"/>
        </w:trPr>
        <w:tc>
          <w:tcPr>
            <w:tcW w:w="369"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b)</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meghozatalát az adatkezelőre alkalmazandó olyan uniós vagy tagállami jog teszi lehetővé, amely az érintett jogainak és szabadságainak, valamint jogos érdekeinek védelmét szolgáló megfelelő intézkedéseket is megállapít; vagy</w:t>
            </w:r>
          </w:p>
        </w:tc>
      </w:tr>
      <w:tr w:rsidR="00C4046A" w:rsidRPr="009E59F2" w:rsidTr="00F1364B">
        <w:trPr>
          <w:tblCellSpacing w:w="0" w:type="dxa"/>
        </w:trPr>
        <w:tc>
          <w:tcPr>
            <w:tcW w:w="369"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c)</w:t>
            </w:r>
          </w:p>
        </w:tc>
        <w:tc>
          <w:tcPr>
            <w:tcW w:w="8872" w:type="dxa"/>
            <w:hideMark/>
          </w:tcPr>
          <w:p w:rsidR="00C4046A" w:rsidRPr="009E59F2" w:rsidRDefault="00C4046A" w:rsidP="00F1364B">
            <w:pPr>
              <w:jc w:val="both"/>
              <w:rPr>
                <w:rFonts w:ascii="Times New Roman" w:hAnsi="Times New Roman" w:cs="Times New Roman"/>
                <w:color w:val="000000"/>
                <w:sz w:val="20"/>
                <w:szCs w:val="20"/>
                <w:lang w:val="hu-HU"/>
              </w:rPr>
            </w:pPr>
            <w:r w:rsidRPr="009E59F2">
              <w:rPr>
                <w:rFonts w:ascii="Times New Roman" w:hAnsi="Times New Roman" w:cs="Times New Roman"/>
                <w:color w:val="000000"/>
                <w:sz w:val="20"/>
                <w:szCs w:val="20"/>
                <w:lang w:val="hu-HU"/>
              </w:rPr>
              <w:t>az érintett kifejezett hozzájárulásán alapul.</w:t>
            </w:r>
          </w:p>
        </w:tc>
      </w:tr>
    </w:tbl>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rsidR="00C4046A" w:rsidRPr="009E59F2" w:rsidRDefault="00C4046A" w:rsidP="00C4046A">
      <w:pPr>
        <w:pStyle w:val="NormlWeb"/>
        <w:spacing w:before="0" w:beforeAutospacing="0" w:after="0" w:afterAutospacing="0"/>
        <w:jc w:val="both"/>
        <w:rPr>
          <w:sz w:val="20"/>
          <w:szCs w:val="20"/>
          <w:lang w:val="hu-HU"/>
        </w:rPr>
      </w:pPr>
    </w:p>
    <w:p w:rsidR="00C4046A" w:rsidRPr="009E59F2" w:rsidRDefault="00C4046A" w:rsidP="00C4046A">
      <w:pPr>
        <w:pStyle w:val="Default"/>
        <w:numPr>
          <w:ilvl w:val="0"/>
          <w:numId w:val="3"/>
        </w:numPr>
        <w:ind w:left="284" w:hanging="284"/>
        <w:jc w:val="both"/>
        <w:rPr>
          <w:rFonts w:ascii="Times New Roman" w:hAnsi="Times New Roman" w:cs="Times New Roman"/>
          <w:sz w:val="20"/>
          <w:szCs w:val="20"/>
          <w:u w:val="single"/>
        </w:rPr>
      </w:pPr>
      <w:r w:rsidRPr="009E59F2">
        <w:rPr>
          <w:rFonts w:ascii="Times New Roman" w:hAnsi="Times New Roman" w:cs="Times New Roman"/>
          <w:sz w:val="20"/>
          <w:szCs w:val="20"/>
          <w:u w:val="single"/>
        </w:rPr>
        <w:t>Jogorvoslat igénybevétele – vagylagosan rendelkezésre álló lehetőségek</w:t>
      </w:r>
    </w:p>
    <w:p w:rsidR="00C4046A" w:rsidRPr="009E59F2" w:rsidRDefault="00C4046A" w:rsidP="00C4046A">
      <w:pPr>
        <w:pStyle w:val="Listaszerbekezds"/>
        <w:ind w:left="2007"/>
        <w:jc w:val="both"/>
        <w:rPr>
          <w:vanish/>
          <w:color w:val="000000"/>
          <w:sz w:val="20"/>
          <w:szCs w:val="20"/>
        </w:rPr>
      </w:pPr>
    </w:p>
    <w:p w:rsidR="00C4046A" w:rsidRPr="009E59F2" w:rsidRDefault="00C4046A" w:rsidP="00C4046A">
      <w:pPr>
        <w:pStyle w:val="NormlWeb"/>
        <w:spacing w:before="0" w:beforeAutospacing="0" w:after="0" w:afterAutospacing="0"/>
        <w:jc w:val="both"/>
        <w:rPr>
          <w:sz w:val="20"/>
          <w:szCs w:val="20"/>
          <w:u w:val="single"/>
          <w:lang w:val="hu-HU"/>
        </w:rPr>
      </w:pPr>
      <w:r w:rsidRPr="009E59F2">
        <w:rPr>
          <w:color w:val="000000"/>
          <w:sz w:val="20"/>
          <w:szCs w:val="20"/>
          <w:lang w:val="hu-HU"/>
        </w:rPr>
        <w:t xml:space="preserve">8.1. </w:t>
      </w:r>
      <w:r w:rsidRPr="009E59F2">
        <w:rPr>
          <w:color w:val="000000"/>
          <w:sz w:val="20"/>
          <w:szCs w:val="20"/>
          <w:u w:val="single"/>
          <w:lang w:val="hu-HU"/>
        </w:rPr>
        <w:t>Adatvédelmi</w:t>
      </w:r>
      <w:r w:rsidRPr="009E59F2">
        <w:rPr>
          <w:sz w:val="20"/>
          <w:szCs w:val="20"/>
          <w:u w:val="single"/>
          <w:lang w:val="hu-HU"/>
        </w:rPr>
        <w:t xml:space="preserve"> tisztviselő (</w:t>
      </w:r>
      <w:proofErr w:type="spellStart"/>
      <w:r w:rsidRPr="009E59F2">
        <w:rPr>
          <w:sz w:val="20"/>
          <w:szCs w:val="20"/>
          <w:u w:val="single"/>
          <w:lang w:val="hu-HU"/>
        </w:rPr>
        <w:t>Infotv</w:t>
      </w:r>
      <w:proofErr w:type="spellEnd"/>
      <w:r w:rsidRPr="009E59F2">
        <w:rPr>
          <w:sz w:val="20"/>
          <w:szCs w:val="20"/>
          <w:u w:val="single"/>
          <w:lang w:val="hu-HU"/>
        </w:rPr>
        <w:t>. 24. § (2) bekezdése, GDPR 39.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9E59F2">
        <w:rPr>
          <w:rFonts w:ascii="Times New Roman" w:hAnsi="Times New Roman" w:cs="Times New Roman"/>
          <w:sz w:val="20"/>
          <w:szCs w:val="20"/>
        </w:rPr>
        <w:t>bek</w:t>
      </w:r>
      <w:proofErr w:type="spellEnd"/>
      <w:r w:rsidRPr="009E59F2">
        <w:rPr>
          <w:rFonts w:ascii="Times New Roman" w:hAnsi="Times New Roman" w:cs="Times New Roman"/>
          <w:sz w:val="20"/>
          <w:szCs w:val="20"/>
        </w:rPr>
        <w:t>.)</w:t>
      </w:r>
    </w:p>
    <w:p w:rsidR="00C4046A" w:rsidRPr="009E59F2" w:rsidRDefault="00C4046A" w:rsidP="00C4046A">
      <w:pPr>
        <w:pStyle w:val="Default"/>
        <w:ind w:left="284"/>
        <w:jc w:val="both"/>
        <w:rPr>
          <w:rFonts w:ascii="Times New Roman" w:hAnsi="Times New Roman" w:cs="Times New Roman"/>
          <w:b/>
          <w:sz w:val="20"/>
          <w:szCs w:val="20"/>
        </w:rPr>
      </w:pPr>
      <w:r w:rsidRPr="009E59F2">
        <w:rPr>
          <w:rFonts w:ascii="Times New Roman" w:hAnsi="Times New Roman" w:cs="Times New Roman"/>
          <w:b/>
          <w:sz w:val="20"/>
          <w:szCs w:val="20"/>
        </w:rPr>
        <w:t>Az ELTE adatvédelmi tisztviselője:</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Rigó Kinga</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 xml:space="preserve">ELTE </w:t>
      </w:r>
      <w:proofErr w:type="spellStart"/>
      <w:r w:rsidRPr="009E59F2">
        <w:rPr>
          <w:rFonts w:ascii="Times New Roman" w:hAnsi="Times New Roman" w:cs="Times New Roman"/>
          <w:sz w:val="20"/>
          <w:szCs w:val="20"/>
          <w:lang w:val="hu-HU"/>
        </w:rPr>
        <w:t>REktori</w:t>
      </w:r>
      <w:proofErr w:type="spellEnd"/>
      <w:r w:rsidRPr="009E59F2">
        <w:rPr>
          <w:rFonts w:ascii="Times New Roman" w:hAnsi="Times New Roman" w:cs="Times New Roman"/>
          <w:sz w:val="20"/>
          <w:szCs w:val="20"/>
          <w:lang w:val="hu-HU"/>
        </w:rPr>
        <w:t xml:space="preserve"> Kabinet Adat, és Stratégiai Információkezelési Iroda </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1053 Budapest</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 xml:space="preserve">Ferenciek tere 6. </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Tel</w:t>
      </w:r>
      <w:proofErr w:type="gramStart"/>
      <w:r w:rsidRPr="009E59F2">
        <w:rPr>
          <w:rFonts w:ascii="Times New Roman" w:hAnsi="Times New Roman" w:cs="Times New Roman"/>
          <w:sz w:val="20"/>
          <w:szCs w:val="20"/>
          <w:lang w:val="hu-HU"/>
        </w:rPr>
        <w:t>.:</w:t>
      </w:r>
      <w:proofErr w:type="gramEnd"/>
      <w:r w:rsidRPr="009E59F2">
        <w:rPr>
          <w:rFonts w:ascii="Times New Roman" w:hAnsi="Times New Roman" w:cs="Times New Roman"/>
          <w:sz w:val="20"/>
          <w:szCs w:val="20"/>
          <w:lang w:val="hu-HU"/>
        </w:rPr>
        <w:t xml:space="preserve"> +3614116500/2855m. </w:t>
      </w:r>
    </w:p>
    <w:p w:rsidR="00C4046A" w:rsidRPr="009E59F2" w:rsidRDefault="00C4046A" w:rsidP="00C4046A">
      <w:pPr>
        <w:spacing w:after="0" w:line="240" w:lineRule="auto"/>
        <w:ind w:left="284"/>
        <w:jc w:val="both"/>
        <w:rPr>
          <w:rFonts w:ascii="Times New Roman" w:hAnsi="Times New Roman" w:cs="Times New Roman"/>
          <w:sz w:val="20"/>
          <w:szCs w:val="20"/>
          <w:lang w:val="hu-HU"/>
        </w:rPr>
      </w:pPr>
      <w:r w:rsidRPr="009E59F2">
        <w:rPr>
          <w:rFonts w:ascii="Times New Roman" w:hAnsi="Times New Roman" w:cs="Times New Roman"/>
          <w:sz w:val="20"/>
          <w:szCs w:val="20"/>
          <w:lang w:val="hu-HU"/>
        </w:rPr>
        <w:t xml:space="preserve">Email: </w:t>
      </w:r>
      <w:hyperlink r:id="rId7" w:history="1">
        <w:r w:rsidRPr="009E59F2">
          <w:rPr>
            <w:rStyle w:val="Hiperhivatkozs"/>
            <w:rFonts w:ascii="Times New Roman" w:hAnsi="Times New Roman" w:cs="Times New Roman"/>
            <w:sz w:val="20"/>
            <w:szCs w:val="20"/>
            <w:lang w:val="hu-HU"/>
          </w:rPr>
          <w:t>strategia@rk.elte.hu</w:t>
        </w:r>
      </w:hyperlink>
    </w:p>
    <w:p w:rsidR="00C4046A" w:rsidRPr="009E59F2" w:rsidRDefault="00C4046A" w:rsidP="00C4046A">
      <w:pPr>
        <w:pStyle w:val="NormlWeb"/>
        <w:spacing w:before="0" w:beforeAutospacing="0" w:after="0" w:afterAutospacing="0"/>
        <w:ind w:left="284" w:hanging="284"/>
        <w:jc w:val="both"/>
        <w:rPr>
          <w:sz w:val="20"/>
          <w:szCs w:val="20"/>
          <w:lang w:val="hu-HU"/>
        </w:rPr>
      </w:pPr>
      <w:r w:rsidRPr="009E59F2">
        <w:rPr>
          <w:sz w:val="20"/>
          <w:szCs w:val="20"/>
          <w:lang w:val="hu-HU"/>
        </w:rPr>
        <w:t xml:space="preserve">8.2. </w:t>
      </w:r>
      <w:r w:rsidRPr="009E59F2">
        <w:rPr>
          <w:sz w:val="20"/>
          <w:szCs w:val="20"/>
          <w:u w:val="single"/>
          <w:lang w:val="hu-HU"/>
        </w:rPr>
        <w:t>Nemzeti Adatvédelmi és Információszabadság Hatóságnál kezdeményezhető vizsgálat</w:t>
      </w:r>
      <w:r w:rsidRPr="009E59F2">
        <w:rPr>
          <w:sz w:val="20"/>
          <w:szCs w:val="20"/>
          <w:lang w:val="hu-HU"/>
        </w:rPr>
        <w:t xml:space="preserve"> (</w:t>
      </w:r>
      <w:proofErr w:type="spellStart"/>
      <w:r w:rsidRPr="009E59F2">
        <w:rPr>
          <w:sz w:val="20"/>
          <w:szCs w:val="20"/>
          <w:lang w:val="hu-HU"/>
        </w:rPr>
        <w:t>Infotv</w:t>
      </w:r>
      <w:proofErr w:type="spellEnd"/>
      <w:r w:rsidRPr="009E59F2">
        <w:rPr>
          <w:sz w:val="20"/>
          <w:szCs w:val="20"/>
          <w:lang w:val="hu-HU"/>
        </w:rPr>
        <w:t>. 52-58. §), GDPR 57. Cikk, 77.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 Nemzeti Adatvédelmi és Információszabadság Hatóságnál (a továbbiakban Hatóság) bejelentéssel </w:t>
      </w:r>
      <w:r w:rsidRPr="009E59F2">
        <w:rPr>
          <w:rFonts w:ascii="Times New Roman" w:hAnsi="Times New Roman" w:cs="Times New Roman"/>
          <w:b/>
          <w:sz w:val="20"/>
          <w:szCs w:val="20"/>
        </w:rPr>
        <w:t>bárki (tehát nem csak az érintett) vizsgálatot kezdeményezhet</w:t>
      </w:r>
      <w:r w:rsidRPr="009E59F2">
        <w:rPr>
          <w:rFonts w:ascii="Times New Roman" w:hAnsi="Times New Roman" w:cs="Times New Roman"/>
          <w:sz w:val="20"/>
          <w:szCs w:val="20"/>
        </w:rPr>
        <w:t xml:space="preserve"> arra hivatkozással, hogy személyes adatok kezelésével kapcsolatban jogsérelem következett be, vagy annak közvetlen veszélye fennáll.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Fontos, hogy a bejelentés ne legyen névtelen, különben a Hatóság érdemi vizsgálat nélkül </w:t>
      </w:r>
      <w:r w:rsidRPr="009E59F2">
        <w:rPr>
          <w:rFonts w:ascii="Times New Roman" w:hAnsi="Times New Roman" w:cs="Times New Roman"/>
          <w:i/>
          <w:sz w:val="20"/>
          <w:szCs w:val="20"/>
        </w:rPr>
        <w:t>elutasíthatja</w:t>
      </w:r>
      <w:r w:rsidRPr="009E59F2">
        <w:rPr>
          <w:rFonts w:ascii="Times New Roman" w:hAnsi="Times New Roman" w:cs="Times New Roman"/>
          <w:sz w:val="20"/>
          <w:szCs w:val="20"/>
        </w:rPr>
        <w:t xml:space="preserve"> a bejelentést. A további elutasítási indokokat az </w:t>
      </w:r>
      <w:proofErr w:type="spellStart"/>
      <w:r w:rsidRPr="009E59F2">
        <w:rPr>
          <w:rFonts w:ascii="Times New Roman" w:hAnsi="Times New Roman" w:cs="Times New Roman"/>
          <w:sz w:val="20"/>
          <w:szCs w:val="20"/>
        </w:rPr>
        <w:t>Infotv</w:t>
      </w:r>
      <w:proofErr w:type="spellEnd"/>
      <w:r w:rsidRPr="009E59F2">
        <w:rPr>
          <w:rFonts w:ascii="Times New Roman" w:hAnsi="Times New Roman" w:cs="Times New Roman"/>
          <w:sz w:val="20"/>
          <w:szCs w:val="20"/>
        </w:rPr>
        <w:t>. 53. §-a tartalmazza.</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 Hatóság vizsgálata </w:t>
      </w:r>
      <w:r w:rsidRPr="009E59F2">
        <w:rPr>
          <w:rFonts w:ascii="Times New Roman" w:hAnsi="Times New Roman" w:cs="Times New Roman"/>
          <w:b/>
          <w:sz w:val="20"/>
          <w:szCs w:val="20"/>
        </w:rPr>
        <w:t>ingyenes</w:t>
      </w:r>
      <w:r w:rsidRPr="009E59F2">
        <w:rPr>
          <w:rFonts w:ascii="Times New Roman" w:hAnsi="Times New Roman" w:cs="Times New Roman"/>
          <w:sz w:val="20"/>
          <w:szCs w:val="20"/>
        </w:rPr>
        <w:t xml:space="preserve">, a vizsgálat költségeit a Hatóság előlegezi és viseli. Az eljárás lefolytatására vonatkozó részletes szabályokat az </w:t>
      </w:r>
      <w:proofErr w:type="spellStart"/>
      <w:r w:rsidRPr="009E59F2">
        <w:rPr>
          <w:rFonts w:ascii="Times New Roman" w:hAnsi="Times New Roman" w:cs="Times New Roman"/>
          <w:sz w:val="20"/>
          <w:szCs w:val="20"/>
        </w:rPr>
        <w:t>Infotv</w:t>
      </w:r>
      <w:proofErr w:type="spellEnd"/>
      <w:r w:rsidRPr="009E59F2">
        <w:rPr>
          <w:rFonts w:ascii="Times New Roman" w:hAnsi="Times New Roman" w:cs="Times New Roman"/>
          <w:sz w:val="20"/>
          <w:szCs w:val="20"/>
        </w:rPr>
        <w:t>. 54-58. §-</w:t>
      </w:r>
      <w:proofErr w:type="spellStart"/>
      <w:r w:rsidRPr="009E59F2">
        <w:rPr>
          <w:rFonts w:ascii="Times New Roman" w:hAnsi="Times New Roman" w:cs="Times New Roman"/>
          <w:sz w:val="20"/>
          <w:szCs w:val="20"/>
        </w:rPr>
        <w:t>ai</w:t>
      </w:r>
      <w:proofErr w:type="spellEnd"/>
      <w:r w:rsidRPr="009E59F2">
        <w:rPr>
          <w:rFonts w:ascii="Times New Roman" w:hAnsi="Times New Roman" w:cs="Times New Roman"/>
          <w:sz w:val="20"/>
          <w:szCs w:val="20"/>
        </w:rPr>
        <w:t xml:space="preserve"> tartalmazzák.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Döntést főszabály szerint a bejelentés érkezésétől számított két hónapon belül hoz.</w:t>
      </w:r>
    </w:p>
    <w:p w:rsidR="00C4046A" w:rsidRPr="009E59F2" w:rsidRDefault="00C4046A" w:rsidP="00C4046A">
      <w:pPr>
        <w:pStyle w:val="Default"/>
        <w:ind w:left="284"/>
        <w:jc w:val="both"/>
        <w:rPr>
          <w:rFonts w:ascii="Times New Roman" w:hAnsi="Times New Roman" w:cs="Times New Roman"/>
          <w:b/>
          <w:sz w:val="20"/>
          <w:szCs w:val="20"/>
        </w:rPr>
      </w:pPr>
      <w:r w:rsidRPr="009E59F2">
        <w:rPr>
          <w:rFonts w:ascii="Times New Roman" w:hAnsi="Times New Roman" w:cs="Times New Roman"/>
          <w:b/>
          <w:sz w:val="20"/>
          <w:szCs w:val="20"/>
        </w:rPr>
        <w:t>A Nemzeti Adatvédelmi és Információszabadság Hatóság elérhetősége:</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1125 Budapest, Szilágyi Erzsébet fasor 22/c.</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Honlap: </w:t>
      </w:r>
      <w:hyperlink r:id="rId8" w:history="1">
        <w:r w:rsidRPr="009E59F2">
          <w:rPr>
            <w:rStyle w:val="Hiperhivatkozs"/>
            <w:rFonts w:ascii="Times New Roman" w:hAnsi="Times New Roman" w:cs="Times New Roman"/>
            <w:sz w:val="20"/>
            <w:szCs w:val="20"/>
          </w:rPr>
          <w:t>www.naih.hu</w:t>
        </w:r>
      </w:hyperlink>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Tel</w:t>
      </w:r>
      <w:proofErr w:type="gramStart"/>
      <w:r w:rsidRPr="009E59F2">
        <w:rPr>
          <w:rFonts w:ascii="Times New Roman" w:hAnsi="Times New Roman" w:cs="Times New Roman"/>
          <w:sz w:val="20"/>
          <w:szCs w:val="20"/>
        </w:rPr>
        <w:t>.:</w:t>
      </w:r>
      <w:proofErr w:type="gramEnd"/>
      <w:r w:rsidRPr="009E59F2">
        <w:rPr>
          <w:rFonts w:ascii="Times New Roman" w:hAnsi="Times New Roman" w:cs="Times New Roman"/>
          <w:sz w:val="20"/>
          <w:szCs w:val="20"/>
        </w:rPr>
        <w:t xml:space="preserve"> +36-1-391-1400</w:t>
      </w:r>
    </w:p>
    <w:p w:rsidR="00C4046A" w:rsidRPr="009E59F2" w:rsidRDefault="00C4046A" w:rsidP="00C4046A">
      <w:pPr>
        <w:pStyle w:val="NormlWeb"/>
        <w:spacing w:before="0" w:beforeAutospacing="0" w:after="0" w:afterAutospacing="0"/>
        <w:jc w:val="both"/>
        <w:rPr>
          <w:sz w:val="20"/>
          <w:szCs w:val="20"/>
          <w:u w:val="single"/>
          <w:lang w:val="hu-HU"/>
        </w:rPr>
      </w:pPr>
      <w:r w:rsidRPr="009E59F2">
        <w:rPr>
          <w:sz w:val="20"/>
          <w:szCs w:val="20"/>
          <w:lang w:val="hu-HU"/>
        </w:rPr>
        <w:lastRenderedPageBreak/>
        <w:t>8.3.</w:t>
      </w:r>
      <w:r w:rsidRPr="009E59F2">
        <w:rPr>
          <w:sz w:val="20"/>
          <w:szCs w:val="20"/>
          <w:u w:val="single"/>
          <w:lang w:val="hu-HU"/>
        </w:rPr>
        <w:t>Bírósági jogérvényesítés (</w:t>
      </w:r>
      <w:proofErr w:type="spellStart"/>
      <w:r w:rsidRPr="009E59F2">
        <w:rPr>
          <w:sz w:val="20"/>
          <w:szCs w:val="20"/>
          <w:u w:val="single"/>
          <w:lang w:val="hu-HU"/>
        </w:rPr>
        <w:t>Infotv</w:t>
      </w:r>
      <w:proofErr w:type="spellEnd"/>
      <w:r w:rsidRPr="009E59F2">
        <w:rPr>
          <w:sz w:val="20"/>
          <w:szCs w:val="20"/>
          <w:u w:val="single"/>
          <w:lang w:val="hu-HU"/>
        </w:rPr>
        <w:t>. 22. §, GDPR 79. cikk)</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Az érintett a jogainak megsértése esetén az adatkezelő ellen bírósághoz fordulhat, mivel minden érintett hatékony bírósági jogorvoslatra jogosult, ha megítélése szerint a személyes adatainak a GDPR-</w:t>
      </w:r>
      <w:proofErr w:type="spellStart"/>
      <w:r w:rsidRPr="009E59F2">
        <w:rPr>
          <w:rFonts w:ascii="Times New Roman" w:hAnsi="Times New Roman" w:cs="Times New Roman"/>
          <w:sz w:val="20"/>
          <w:szCs w:val="20"/>
        </w:rPr>
        <w:t>nak</w:t>
      </w:r>
      <w:proofErr w:type="spellEnd"/>
      <w:r w:rsidRPr="009E59F2">
        <w:rPr>
          <w:rFonts w:ascii="Times New Roman" w:hAnsi="Times New Roman" w:cs="Times New Roman"/>
          <w:sz w:val="20"/>
          <w:szCs w:val="20"/>
        </w:rPr>
        <w:t xml:space="preserve"> nem megfelelő kezelése következtében megsértették a GDPR-</w:t>
      </w:r>
      <w:proofErr w:type="spellStart"/>
      <w:r w:rsidRPr="009E59F2">
        <w:rPr>
          <w:rFonts w:ascii="Times New Roman" w:hAnsi="Times New Roman" w:cs="Times New Roman"/>
          <w:sz w:val="20"/>
          <w:szCs w:val="20"/>
        </w:rPr>
        <w:t>ban</w:t>
      </w:r>
      <w:proofErr w:type="spellEnd"/>
      <w:r w:rsidRPr="009E59F2">
        <w:rPr>
          <w:rFonts w:ascii="Times New Roman" w:hAnsi="Times New Roman" w:cs="Times New Roman"/>
          <w:sz w:val="20"/>
          <w:szCs w:val="20"/>
        </w:rPr>
        <w:t xml:space="preserve"> rögzített jogait (lásd</w:t>
      </w:r>
      <w:proofErr w:type="gramStart"/>
      <w:r w:rsidRPr="009E59F2">
        <w:rPr>
          <w:rFonts w:ascii="Times New Roman" w:hAnsi="Times New Roman" w:cs="Times New Roman"/>
          <w:sz w:val="20"/>
          <w:szCs w:val="20"/>
        </w:rPr>
        <w:t>.:</w:t>
      </w:r>
      <w:proofErr w:type="gramEnd"/>
      <w:r w:rsidRPr="009E59F2">
        <w:rPr>
          <w:rFonts w:ascii="Times New Roman" w:hAnsi="Times New Roman" w:cs="Times New Roman"/>
          <w:sz w:val="20"/>
          <w:szCs w:val="20"/>
        </w:rPr>
        <w:t xml:space="preserve"> fent).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Magyarországon a pert - az érintett választása szerint - az érintett lakóhelye vagy tartózkodási helye szerinti törvényszék előtt is megindíthatja. </w:t>
      </w:r>
    </w:p>
    <w:p w:rsidR="00C4046A" w:rsidRPr="009E59F2" w:rsidRDefault="00C4046A" w:rsidP="00C4046A">
      <w:pPr>
        <w:pStyle w:val="Default"/>
        <w:ind w:left="284"/>
        <w:jc w:val="both"/>
        <w:rPr>
          <w:rFonts w:ascii="Times New Roman" w:hAnsi="Times New Roman" w:cs="Times New Roman"/>
          <w:sz w:val="20"/>
          <w:szCs w:val="20"/>
        </w:rPr>
      </w:pPr>
      <w:r w:rsidRPr="009E59F2">
        <w:rPr>
          <w:rFonts w:ascii="Times New Roman" w:hAnsi="Times New Roman" w:cs="Times New Roman"/>
          <w:sz w:val="20"/>
          <w:szCs w:val="20"/>
        </w:rPr>
        <w:t xml:space="preserve">Az érintett a perben kártérítést/sérelemdíjat követelhet az adatkezelőtől: </w:t>
      </w:r>
    </w:p>
    <w:p w:rsidR="00C4046A" w:rsidRPr="009E59F2" w:rsidRDefault="00C4046A" w:rsidP="00C4046A">
      <w:pPr>
        <w:pStyle w:val="Default"/>
        <w:numPr>
          <w:ilvl w:val="0"/>
          <w:numId w:val="1"/>
        </w:numPr>
        <w:jc w:val="both"/>
        <w:rPr>
          <w:rFonts w:ascii="Times New Roman" w:hAnsi="Times New Roman" w:cs="Times New Roman"/>
          <w:sz w:val="20"/>
          <w:szCs w:val="20"/>
        </w:rPr>
      </w:pPr>
      <w:r w:rsidRPr="009E59F2">
        <w:rPr>
          <w:rFonts w:ascii="Times New Roman" w:hAnsi="Times New Roman" w:cs="Times New Roman"/>
          <w:sz w:val="20"/>
          <w:szCs w:val="20"/>
        </w:rPr>
        <w:t>ha az adatkezelő az érintett adatainak jogellenes kezelésével vagy az adatbiztonság követelményeinek megszegésével másnak kárt okoz, köteles azt megtéríteni;</w:t>
      </w:r>
    </w:p>
    <w:p w:rsidR="00C4046A" w:rsidRPr="009E59F2" w:rsidRDefault="00C4046A" w:rsidP="00C4046A">
      <w:pPr>
        <w:pStyle w:val="Default"/>
        <w:numPr>
          <w:ilvl w:val="0"/>
          <w:numId w:val="1"/>
        </w:numPr>
        <w:jc w:val="both"/>
        <w:rPr>
          <w:rFonts w:ascii="Times New Roman" w:hAnsi="Times New Roman" w:cs="Times New Roman"/>
          <w:sz w:val="20"/>
          <w:szCs w:val="20"/>
        </w:rPr>
      </w:pPr>
      <w:r w:rsidRPr="009E59F2">
        <w:rPr>
          <w:rFonts w:ascii="Times New Roman" w:hAnsi="Times New Roman" w:cs="Times New Roman"/>
          <w:sz w:val="20"/>
          <w:szCs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sectPr w:rsidR="00C4046A" w:rsidRPr="009E59F2" w:rsidSect="00F8586C">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88" w:rsidRDefault="00590D88" w:rsidP="00C4046A">
      <w:pPr>
        <w:spacing w:after="0" w:line="240" w:lineRule="auto"/>
      </w:pPr>
      <w:r>
        <w:separator/>
      </w:r>
    </w:p>
  </w:endnote>
  <w:endnote w:type="continuationSeparator" w:id="0">
    <w:p w:rsidR="00590D88" w:rsidRDefault="00590D88" w:rsidP="00C4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88" w:rsidRDefault="00590D88" w:rsidP="00C4046A">
      <w:pPr>
        <w:spacing w:after="0" w:line="240" w:lineRule="auto"/>
      </w:pPr>
      <w:r>
        <w:separator/>
      </w:r>
    </w:p>
  </w:footnote>
  <w:footnote w:type="continuationSeparator" w:id="0">
    <w:p w:rsidR="00590D88" w:rsidRDefault="00590D88" w:rsidP="00C4046A">
      <w:pPr>
        <w:spacing w:after="0" w:line="240" w:lineRule="auto"/>
      </w:pPr>
      <w:r>
        <w:continuationSeparator/>
      </w:r>
    </w:p>
  </w:footnote>
  <w:footnote w:id="1">
    <w:p w:rsidR="00C4046A" w:rsidRDefault="00C4046A" w:rsidP="00C4046A">
      <w:pPr>
        <w:pStyle w:val="Lbjegyzetszveg"/>
        <w:jc w:val="both"/>
      </w:pPr>
      <w:r>
        <w:rPr>
          <w:rStyle w:val="Lbjegyzet-hivatkozs"/>
          <w:sz w:val="18"/>
          <w:szCs w:val="18"/>
        </w:rPr>
        <w:footnoteRef/>
      </w:r>
      <w:r>
        <w:rPr>
          <w:sz w:val="18"/>
          <w:szCs w:val="18"/>
        </w:rPr>
        <w:t xml:space="preserve"> </w:t>
      </w:r>
      <w:proofErr w:type="gramStart"/>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roofErr w:type="gramEnd"/>
    </w:p>
  </w:footnote>
  <w:footnote w:id="2">
    <w:p w:rsidR="00C4046A" w:rsidRDefault="00C4046A" w:rsidP="00C4046A">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w:t>
      </w:r>
      <w:proofErr w:type="spellStart"/>
      <w:r>
        <w:rPr>
          <w:color w:val="000000"/>
          <w:sz w:val="18"/>
          <w:szCs w:val="18"/>
        </w:rPr>
        <w:t>előrejelzésére</w:t>
      </w:r>
      <w:proofErr w:type="spellEnd"/>
      <w:r>
        <w:rPr>
          <w:color w:val="000000"/>
          <w:sz w:val="18"/>
          <w:szCs w:val="18"/>
        </w:rPr>
        <w:t xml:space="preserve"> használják;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1"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2" w15:restartNumberingAfterBreak="0">
    <w:nsid w:val="5934692E"/>
    <w:multiLevelType w:val="hybridMultilevel"/>
    <w:tmpl w:val="B088EC4E"/>
    <w:lvl w:ilvl="0" w:tplc="040E000F">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6A"/>
    <w:rsid w:val="00090495"/>
    <w:rsid w:val="000D7120"/>
    <w:rsid w:val="003647DB"/>
    <w:rsid w:val="00590D88"/>
    <w:rsid w:val="009F66D5"/>
    <w:rsid w:val="00C404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D1606-4FB3-43DD-B94B-EADCB3C9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046A"/>
    <w:pPr>
      <w:spacing w:after="200" w:line="27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4046A"/>
    <w:rPr>
      <w:color w:val="0563C1" w:themeColor="hyperlink"/>
      <w:u w:val="single"/>
    </w:rPr>
  </w:style>
  <w:style w:type="paragraph" w:styleId="NormlWeb">
    <w:name w:val="Normal (Web)"/>
    <w:basedOn w:val="Norml"/>
    <w:uiPriority w:val="99"/>
    <w:semiHidden/>
    <w:unhideWhenUsed/>
    <w:rsid w:val="00C4046A"/>
    <w:pPr>
      <w:spacing w:before="100" w:beforeAutospacing="1" w:after="100" w:afterAutospacing="1" w:line="240" w:lineRule="auto"/>
    </w:pPr>
    <w:rPr>
      <w:rFonts w:ascii="Times New Roman" w:eastAsia="Times New Roman" w:hAnsi="Times New Roman" w:cs="Times New Roman"/>
      <w:sz w:val="24"/>
      <w:szCs w:val="24"/>
    </w:rPr>
  </w:style>
  <w:style w:type="paragraph" w:styleId="Lbjegyzetszveg">
    <w:name w:val="footnote text"/>
    <w:basedOn w:val="Norml"/>
    <w:link w:val="LbjegyzetszvegChar"/>
    <w:uiPriority w:val="99"/>
    <w:semiHidden/>
    <w:unhideWhenUsed/>
    <w:rsid w:val="00C4046A"/>
    <w:pPr>
      <w:spacing w:after="0" w:line="240" w:lineRule="auto"/>
    </w:pPr>
    <w:rPr>
      <w:rFonts w:ascii="Times New Roman" w:eastAsia="Times New Roman" w:hAnsi="Times New Roman" w:cs="Times New Roman"/>
      <w:sz w:val="20"/>
      <w:szCs w:val="20"/>
      <w:lang w:val="hu-HU" w:eastAsia="hu-HU"/>
    </w:rPr>
  </w:style>
  <w:style w:type="character" w:customStyle="1" w:styleId="LbjegyzetszvegChar">
    <w:name w:val="Lábjegyzetszöveg Char"/>
    <w:basedOn w:val="Bekezdsalapbettpusa"/>
    <w:link w:val="Lbjegyzetszveg"/>
    <w:uiPriority w:val="99"/>
    <w:semiHidden/>
    <w:rsid w:val="00C4046A"/>
    <w:rPr>
      <w:rFonts w:ascii="Times New Roman" w:eastAsia="Times New Roman" w:hAnsi="Times New Roman" w:cs="Times New Roman"/>
      <w:sz w:val="20"/>
      <w:szCs w:val="20"/>
      <w:lang w:eastAsia="hu-HU"/>
    </w:rPr>
  </w:style>
  <w:style w:type="character" w:customStyle="1" w:styleId="ListaszerbekezdsChar">
    <w:name w:val="Listaszerű bekezdés Char"/>
    <w:link w:val="Listaszerbekezds"/>
    <w:uiPriority w:val="34"/>
    <w:locked/>
    <w:rsid w:val="00C4046A"/>
    <w:rPr>
      <w:rFonts w:ascii="Times New Roman" w:eastAsia="Times New Roman" w:hAnsi="Times New Roman" w:cs="Times New Roman"/>
      <w:sz w:val="24"/>
      <w:szCs w:val="24"/>
      <w:lang w:eastAsia="hu-HU"/>
    </w:rPr>
  </w:style>
  <w:style w:type="paragraph" w:styleId="Listaszerbekezds">
    <w:name w:val="List Paragraph"/>
    <w:basedOn w:val="Norml"/>
    <w:link w:val="ListaszerbekezdsChar"/>
    <w:uiPriority w:val="34"/>
    <w:qFormat/>
    <w:rsid w:val="00C4046A"/>
    <w:pPr>
      <w:autoSpaceDE w:val="0"/>
      <w:autoSpaceDN w:val="0"/>
      <w:spacing w:after="0" w:line="240" w:lineRule="auto"/>
      <w:ind w:left="720"/>
      <w:contextualSpacing/>
    </w:pPr>
    <w:rPr>
      <w:rFonts w:ascii="Times New Roman" w:eastAsia="Times New Roman" w:hAnsi="Times New Roman" w:cs="Times New Roman"/>
      <w:sz w:val="24"/>
      <w:szCs w:val="24"/>
      <w:lang w:val="hu-HU" w:eastAsia="hu-HU"/>
    </w:rPr>
  </w:style>
  <w:style w:type="paragraph" w:customStyle="1" w:styleId="Default">
    <w:name w:val="Default"/>
    <w:uiPriority w:val="99"/>
    <w:rsid w:val="00C4046A"/>
    <w:pPr>
      <w:autoSpaceDE w:val="0"/>
      <w:autoSpaceDN w:val="0"/>
      <w:adjustRightInd w:val="0"/>
      <w:spacing w:after="0" w:line="240" w:lineRule="auto"/>
    </w:pPr>
    <w:rPr>
      <w:rFonts w:ascii="Arial" w:eastAsia="Times New Roman" w:hAnsi="Arial" w:cs="Arial"/>
      <w:color w:val="000000"/>
      <w:sz w:val="24"/>
      <w:szCs w:val="24"/>
      <w:lang w:eastAsia="hu-HU"/>
    </w:rPr>
  </w:style>
  <w:style w:type="character" w:styleId="Lbjegyzet-hivatkozs">
    <w:name w:val="footnote reference"/>
    <w:uiPriority w:val="99"/>
    <w:semiHidden/>
    <w:unhideWhenUsed/>
    <w:rsid w:val="00C40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mailto:strategia@r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10642</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2018-06-29T07:27:00Z</dcterms:created>
  <dcterms:modified xsi:type="dcterms:W3CDTF">2018-06-29T07:27:00Z</dcterms:modified>
</cp:coreProperties>
</file>